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47" w:rsidRDefault="00DF2F47" w:rsidP="00DF2F47">
      <w:pPr>
        <w:pStyle w:val="a4"/>
        <w:suppressAutoHyphens w:val="0"/>
        <w:spacing w:before="0" w:after="0"/>
        <w:rPr>
          <w:rFonts w:eastAsia="Times New Roman" w:cs="Arial"/>
          <w:b/>
          <w:bCs/>
          <w:sz w:val="22"/>
          <w:szCs w:val="22"/>
        </w:rPr>
      </w:pPr>
      <w:r>
        <w:rPr>
          <w:rFonts w:eastAsia="Times New Roman" w:cs="Arial"/>
          <w:b/>
          <w:bCs/>
          <w:sz w:val="22"/>
          <w:szCs w:val="22"/>
        </w:rPr>
        <w:t>ПЕРЕЧЕНЬ ПРОЦЕДУР, ВХОДЯЩИХ В ПРОГРАММУ «</w:t>
      </w:r>
      <w:r>
        <w:rPr>
          <w:rFonts w:eastAsia="Times New Roman" w:cs="Arial"/>
          <w:b/>
          <w:bCs/>
          <w:sz w:val="22"/>
          <w:szCs w:val="22"/>
          <w:lang w:val="ru-RU"/>
        </w:rPr>
        <w:t>ДОСТУПНЫЙ</w:t>
      </w:r>
      <w:r>
        <w:rPr>
          <w:rFonts w:eastAsia="Times New Roman" w:cs="Arial"/>
          <w:b/>
          <w:bCs/>
          <w:sz w:val="22"/>
          <w:szCs w:val="22"/>
        </w:rPr>
        <w:t xml:space="preserve"> ЮГ»:</w:t>
      </w:r>
    </w:p>
    <w:tbl>
      <w:tblPr>
        <w:tblW w:w="5000" w:type="pct"/>
        <w:tblLook w:val="04A0"/>
      </w:tblPr>
      <w:tblGrid>
        <w:gridCol w:w="539"/>
        <w:gridCol w:w="5369"/>
        <w:gridCol w:w="1221"/>
        <w:gridCol w:w="1221"/>
        <w:gridCol w:w="1221"/>
      </w:tblGrid>
      <w:tr w:rsidR="00DF2F47" w:rsidTr="00DF2F47">
        <w:trPr>
          <w:trHeight w:val="537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процедуры</w:t>
            </w:r>
          </w:p>
        </w:tc>
        <w:tc>
          <w:tcPr>
            <w:tcW w:w="19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Кол-во процедур</w:t>
            </w:r>
          </w:p>
        </w:tc>
      </w:tr>
      <w:tr w:rsidR="00DF2F47" w:rsidTr="00DF2F47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7-10 к/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дн</w:t>
            </w:r>
            <w:proofErr w:type="spellEnd"/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11-15 к/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дн</w:t>
            </w:r>
            <w:proofErr w:type="spellEnd"/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16-18 к/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дн</w:t>
            </w:r>
            <w:proofErr w:type="spellEnd"/>
          </w:p>
        </w:tc>
      </w:tr>
      <w:tr w:rsidR="00DF2F47" w:rsidTr="00DF2F47">
        <w:trPr>
          <w:trHeight w:val="143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Первичный прием врача</w:t>
            </w: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F2F47" w:rsidTr="00DF2F47">
        <w:trPr>
          <w:trHeight w:val="143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Динамическое наблюдение (повторный прием)</w:t>
            </w: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F2F47" w:rsidTr="00DF2F47">
        <w:trPr>
          <w:trHeight w:val="143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Терренкур</w:t>
            </w:r>
          </w:p>
        </w:tc>
        <w:tc>
          <w:tcPr>
            <w:tcW w:w="191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ежедневно</w:t>
            </w:r>
          </w:p>
        </w:tc>
      </w:tr>
      <w:tr w:rsidR="00DF2F47" w:rsidTr="00DF2F47">
        <w:trPr>
          <w:trHeight w:val="143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ЭКГ (по показаниям)</w:t>
            </w: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F2F47" w:rsidTr="00DF2F47">
        <w:trPr>
          <w:trHeight w:val="26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Фиточай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 раз в день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F2F47" w:rsidTr="00DF2F47">
        <w:trPr>
          <w:trHeight w:val="361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Прием минеральной воды внутрь в бювете 2 раза в день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F2F47" w:rsidTr="00DF2F47">
        <w:trPr>
          <w:trHeight w:val="26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Аромафитотерапия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аппаратная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F2F47" w:rsidTr="00DF2F47">
        <w:trPr>
          <w:trHeight w:val="26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Ингаляции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F2F47" w:rsidTr="00DF2F47">
        <w:trPr>
          <w:trHeight w:val="268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Ручной массаж, 1 зона или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механомассаж</w:t>
            </w:r>
            <w:proofErr w:type="spellEnd"/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F2F47" w:rsidTr="00DF2F47">
        <w:trPr>
          <w:trHeight w:val="563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Физиотерапевтические процедуры, 1 вид по показаниям (кроме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прессотерапии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F2F47" w:rsidTr="00DF2F47">
        <w:trPr>
          <w:trHeight w:val="514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Лечебные ванны или души - 1 вид ванны или душа по показаниям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F2F47" w:rsidTr="00DF2F47">
        <w:trPr>
          <w:trHeight w:val="253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Неотложная медикаментозная медицинская помощь</w:t>
            </w:r>
          </w:p>
        </w:tc>
        <w:tc>
          <w:tcPr>
            <w:tcW w:w="19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F47" w:rsidRDefault="00DF2F47">
            <w:pPr>
              <w:snapToGrid w:val="0"/>
              <w:spacing w:before="0"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необходимости</w:t>
            </w:r>
          </w:p>
        </w:tc>
      </w:tr>
    </w:tbl>
    <w:p w:rsidR="00DF2F47" w:rsidRDefault="00DF2F47" w:rsidP="00DF2F47">
      <w:pPr>
        <w:pStyle w:val="a3"/>
        <w:spacing w:before="0" w:after="0"/>
        <w:rPr>
          <w:rFonts w:ascii="Arial" w:hAnsi="Arial" w:cs="Arial"/>
          <w:sz w:val="22"/>
          <w:szCs w:val="22"/>
        </w:rPr>
      </w:pPr>
    </w:p>
    <w:p w:rsidR="00DF2F47" w:rsidRDefault="00DF2F47" w:rsidP="00DF2F47">
      <w:pPr>
        <w:spacing w:before="0" w:after="0" w:line="24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Примечание: </w:t>
      </w:r>
    </w:p>
    <w:p w:rsidR="00DF2F47" w:rsidRDefault="00DF2F47" w:rsidP="00DF2F47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лечение и количество процедур подбирается индивидуально по назначению врача, </w:t>
      </w:r>
    </w:p>
    <w:p w:rsidR="00DF2F47" w:rsidRDefault="00DF2F47" w:rsidP="00DF2F47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лечебные и диагностические процедуры, не входящие в данную Программу, оплачиваются по действующему Прейскуранту,</w:t>
      </w:r>
    </w:p>
    <w:p w:rsidR="00DF2F47" w:rsidRDefault="00DF2F47" w:rsidP="00DF2F47">
      <w:pPr>
        <w:numPr>
          <w:ilvl w:val="0"/>
          <w:numId w:val="1"/>
        </w:numPr>
        <w:suppressAutoHyphens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при себе необходимо имеет санаторно-курортную карту, в случае ее </w:t>
      </w:r>
      <w:proofErr w:type="gramStart"/>
      <w:r>
        <w:rPr>
          <w:rFonts w:ascii="Arial" w:hAnsi="Arial" w:cs="Arial"/>
          <w:sz w:val="22"/>
          <w:szCs w:val="22"/>
        </w:rPr>
        <w:t>отсутствия</w:t>
      </w:r>
      <w:proofErr w:type="gramEnd"/>
      <w:r>
        <w:rPr>
          <w:rFonts w:ascii="Arial" w:hAnsi="Arial" w:cs="Arial"/>
          <w:sz w:val="22"/>
          <w:szCs w:val="22"/>
        </w:rPr>
        <w:t xml:space="preserve"> возможно ее оформление на месте за дополнительную плату.</w:t>
      </w:r>
    </w:p>
    <w:p w:rsidR="00DF2F47" w:rsidRDefault="00DF2F47" w:rsidP="00DF2F47">
      <w:pPr>
        <w:spacing w:before="0" w:after="0" w:line="24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Дополнительные платные услуги:</w:t>
      </w:r>
    </w:p>
    <w:p w:rsidR="00DF2F47" w:rsidRDefault="00DF2F47" w:rsidP="00DF2F47">
      <w:pPr>
        <w:numPr>
          <w:ilvl w:val="0"/>
          <w:numId w:val="2"/>
        </w:numPr>
        <w:suppressAutoHyphens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банный SPA-комплекс (сауна, </w:t>
      </w:r>
      <w:proofErr w:type="gramStart"/>
      <w:r>
        <w:rPr>
          <w:rFonts w:ascii="Arial" w:hAnsi="Arial" w:cs="Arial"/>
          <w:sz w:val="22"/>
          <w:szCs w:val="22"/>
        </w:rPr>
        <w:t>хамам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DF2F47" w:rsidRDefault="00DF2F47" w:rsidP="00DF2F47">
      <w:pPr>
        <w:numPr>
          <w:ilvl w:val="0"/>
          <w:numId w:val="2"/>
        </w:numPr>
        <w:suppressAutoHyphens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Услуги медицинского центра: лабораторная диагностика, в т. ч. определение гормонов, </w:t>
      </w:r>
      <w:proofErr w:type="spellStart"/>
      <w:r>
        <w:rPr>
          <w:rFonts w:ascii="Arial" w:hAnsi="Arial" w:cs="Arial"/>
          <w:sz w:val="22"/>
          <w:szCs w:val="22"/>
        </w:rPr>
        <w:t>онкомаркеров</w:t>
      </w:r>
      <w:proofErr w:type="spellEnd"/>
      <w:r>
        <w:rPr>
          <w:rFonts w:ascii="Arial" w:hAnsi="Arial" w:cs="Arial"/>
          <w:sz w:val="22"/>
          <w:szCs w:val="22"/>
        </w:rPr>
        <w:t xml:space="preserve">, инфекций, консультации врачей-специалистов: невролога, ЛОР, психолога, уролога, гинеколога, стоматологическая помощь, </w:t>
      </w:r>
      <w:proofErr w:type="spellStart"/>
      <w:r>
        <w:rPr>
          <w:rFonts w:ascii="Arial" w:hAnsi="Arial" w:cs="Arial"/>
          <w:sz w:val="22"/>
          <w:szCs w:val="22"/>
        </w:rPr>
        <w:t>термография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биорезонансная</w:t>
      </w:r>
      <w:proofErr w:type="spellEnd"/>
      <w:r>
        <w:rPr>
          <w:rFonts w:ascii="Arial" w:hAnsi="Arial" w:cs="Arial"/>
          <w:sz w:val="22"/>
          <w:szCs w:val="22"/>
        </w:rPr>
        <w:t xml:space="preserve"> диагностика </w:t>
      </w:r>
      <w:proofErr w:type="spellStart"/>
      <w:r>
        <w:rPr>
          <w:rFonts w:ascii="Arial" w:hAnsi="Arial" w:cs="Arial"/>
          <w:sz w:val="22"/>
          <w:szCs w:val="22"/>
        </w:rPr>
        <w:t>Метатрон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кардиовизиография</w:t>
      </w:r>
      <w:proofErr w:type="spellEnd"/>
      <w:r>
        <w:rPr>
          <w:rFonts w:ascii="Arial" w:hAnsi="Arial" w:cs="Arial"/>
          <w:sz w:val="22"/>
          <w:szCs w:val="22"/>
        </w:rPr>
        <w:t xml:space="preserve">, УЗИ внутренних органов, сердца, сосудов, </w:t>
      </w:r>
      <w:proofErr w:type="spellStart"/>
      <w:r>
        <w:rPr>
          <w:rFonts w:ascii="Arial" w:hAnsi="Arial" w:cs="Arial"/>
          <w:sz w:val="22"/>
          <w:szCs w:val="22"/>
        </w:rPr>
        <w:t>озонотерапия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карбокситерапия</w:t>
      </w:r>
      <w:proofErr w:type="spellEnd"/>
      <w:r>
        <w:rPr>
          <w:rFonts w:ascii="Arial" w:hAnsi="Arial" w:cs="Arial"/>
          <w:sz w:val="22"/>
          <w:szCs w:val="22"/>
        </w:rPr>
        <w:t xml:space="preserve"> (уколы</w:t>
      </w:r>
      <w:proofErr w:type="gramEnd"/>
      <w:r>
        <w:rPr>
          <w:rFonts w:ascii="Arial" w:hAnsi="Arial" w:cs="Arial"/>
          <w:sz w:val="22"/>
          <w:szCs w:val="22"/>
        </w:rPr>
        <w:t xml:space="preserve"> углекислого газа), лазерное очищение крови, «Горный воздух (</w:t>
      </w:r>
      <w:proofErr w:type="spellStart"/>
      <w:r>
        <w:rPr>
          <w:rFonts w:ascii="Arial" w:hAnsi="Arial" w:cs="Arial"/>
          <w:sz w:val="22"/>
          <w:szCs w:val="22"/>
        </w:rPr>
        <w:t>гипокситерапия</w:t>
      </w:r>
      <w:proofErr w:type="spellEnd"/>
      <w:r>
        <w:rPr>
          <w:rFonts w:ascii="Arial" w:hAnsi="Arial" w:cs="Arial"/>
          <w:sz w:val="22"/>
          <w:szCs w:val="22"/>
        </w:rPr>
        <w:t xml:space="preserve">), сухое вытяжение позвоночника, </w:t>
      </w:r>
      <w:proofErr w:type="spellStart"/>
      <w:r>
        <w:rPr>
          <w:rFonts w:ascii="Arial" w:hAnsi="Arial" w:cs="Arial"/>
          <w:sz w:val="22"/>
          <w:szCs w:val="22"/>
        </w:rPr>
        <w:t>лимфодренажный</w:t>
      </w:r>
      <w:proofErr w:type="spellEnd"/>
      <w:r>
        <w:rPr>
          <w:rFonts w:ascii="Arial" w:hAnsi="Arial" w:cs="Arial"/>
          <w:sz w:val="22"/>
          <w:szCs w:val="22"/>
        </w:rPr>
        <w:t xml:space="preserve"> пневмомассаж, программы по уходу за телом, в т.ч. водорослевые обертывания и </w:t>
      </w:r>
      <w:proofErr w:type="spellStart"/>
      <w:r>
        <w:rPr>
          <w:rFonts w:ascii="Arial" w:hAnsi="Arial" w:cs="Arial"/>
          <w:sz w:val="22"/>
          <w:szCs w:val="22"/>
        </w:rPr>
        <w:t>антицеллюлитный</w:t>
      </w:r>
      <w:proofErr w:type="spellEnd"/>
      <w:r>
        <w:rPr>
          <w:rFonts w:ascii="Arial" w:hAnsi="Arial" w:cs="Arial"/>
          <w:sz w:val="22"/>
          <w:szCs w:val="22"/>
        </w:rPr>
        <w:t xml:space="preserve"> массаж, мониторная очистка кишечника, солярий.</w:t>
      </w:r>
    </w:p>
    <w:p w:rsidR="00DF2F47" w:rsidRDefault="00DF2F47" w:rsidP="00DF2F47">
      <w:pPr>
        <w:suppressAutoHyphens/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E53C7" w:rsidRDefault="005E53C7"/>
    <w:sectPr w:rsidR="005E53C7" w:rsidSect="005E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PMincho">
    <w:altName w:val="MS Gothic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4A11"/>
    <w:multiLevelType w:val="hybridMultilevel"/>
    <w:tmpl w:val="60225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D48DA"/>
    <w:multiLevelType w:val="hybridMultilevel"/>
    <w:tmpl w:val="48F65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2F47"/>
    <w:rsid w:val="005E53C7"/>
    <w:rsid w:val="00DF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47"/>
    <w:pPr>
      <w:spacing w:before="100"/>
    </w:pPr>
    <w:rPr>
      <w:rFonts w:ascii="Century Schoolbook" w:eastAsia="MS PMincho" w:hAnsi="Century Schoolboo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DF2F47"/>
    <w:pPr>
      <w:spacing w:after="10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a4">
    <w:name w:val="Body Text"/>
    <w:basedOn w:val="a"/>
    <w:link w:val="a5"/>
    <w:semiHidden/>
    <w:unhideWhenUsed/>
    <w:qFormat/>
    <w:rsid w:val="00DF2F47"/>
    <w:pPr>
      <w:suppressAutoHyphens/>
      <w:spacing w:after="120" w:line="240" w:lineRule="auto"/>
      <w:jc w:val="both"/>
    </w:pPr>
    <w:rPr>
      <w:rFonts w:ascii="Arial" w:eastAsia="SimSun" w:hAnsi="Arial" w:cs="Mangal"/>
      <w:kern w:val="2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DF2F47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</dc:creator>
  <cp:lastModifiedBy>Менеджер1</cp:lastModifiedBy>
  <cp:revision>1</cp:revision>
  <dcterms:created xsi:type="dcterms:W3CDTF">2019-09-16T10:48:00Z</dcterms:created>
  <dcterms:modified xsi:type="dcterms:W3CDTF">2019-09-16T10:49:00Z</dcterms:modified>
</cp:coreProperties>
</file>